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7B2" w:rsidRPr="00BF57B2" w:rsidRDefault="00E336D8" w:rsidP="00BF57B2">
      <w:pPr>
        <w:spacing w:before="240" w:after="0" w:line="240" w:lineRule="auto"/>
        <w:outlineLvl w:val="1"/>
        <w:rPr>
          <w:rFonts w:ascii="Trebuchet MS" w:eastAsia="Times New Roman" w:hAnsi="Trebuchet MS" w:cs="Times New Roman"/>
          <w:color w:val="662D8E"/>
          <w:sz w:val="28"/>
          <w:szCs w:val="24"/>
        </w:rPr>
      </w:pPr>
      <w:bookmarkStart w:id="0" w:name="_GoBack"/>
      <w:r>
        <w:rPr>
          <w:rFonts w:ascii="Trebuchet MS" w:eastAsia="Times New Roman" w:hAnsi="Trebuchet MS" w:cs="Times New Roman"/>
          <w:color w:val="662D8E"/>
          <w:sz w:val="28"/>
          <w:szCs w:val="24"/>
        </w:rPr>
        <w:t>Anthony Yuen</w:t>
      </w:r>
    </w:p>
    <w:bookmarkEnd w:id="0"/>
    <w:p w:rsidR="00BF57B2" w:rsidRPr="00BF57B2" w:rsidRDefault="00E336D8" w:rsidP="00BF57B2">
      <w:pPr>
        <w:numPr>
          <w:ilvl w:val="1"/>
          <w:numId w:val="0"/>
        </w:numPr>
        <w:spacing w:after="240" w:line="240" w:lineRule="auto"/>
        <w:rPr>
          <w:rFonts w:ascii="Trebuchet MS" w:eastAsia="Times New Roman" w:hAnsi="Trebuchet MS" w:cs="Times New Roman"/>
          <w:color w:val="5A5A5A"/>
          <w:sz w:val="20"/>
        </w:rPr>
      </w:pPr>
      <w:r>
        <w:rPr>
          <w:rFonts w:ascii="Trebuchet MS" w:eastAsia="Times New Roman" w:hAnsi="Trebuchet MS" w:cs="Times New Roman"/>
          <w:color w:val="5A5A5A"/>
          <w:sz w:val="20"/>
        </w:rPr>
        <w:t>Head of Strategy at Citigroup</w:t>
      </w:r>
    </w:p>
    <w:p w:rsidR="009A2767" w:rsidRDefault="00E336D8" w:rsidP="00CA3949">
      <w:pPr>
        <w:spacing w:line="276" w:lineRule="auto"/>
      </w:pPr>
      <w:r>
        <w:rPr>
          <w:rFonts w:ascii="Segoe UI" w:hAnsi="Segoe UI" w:cs="Segoe UI"/>
          <w:shd w:val="clear" w:color="auto" w:fill="FFFFFF"/>
        </w:rPr>
        <w:t>Anthony is the Head of Energy Strategy within the Commodities Strategy group at Citi. He advises funds, pension plans, corporates, NOCs and governments etc.</w:t>
      </w:r>
      <w:r>
        <w:rPr>
          <w:rFonts w:ascii="Segoe UI" w:hAnsi="Segoe UI" w:cs="Segoe UI"/>
        </w:rPr>
        <w:br/>
      </w:r>
      <w:r>
        <w:rPr>
          <w:rFonts w:ascii="Segoe UI" w:hAnsi="Segoe UI" w:cs="Segoe UI"/>
        </w:rPr>
        <w:br/>
      </w:r>
      <w:r>
        <w:rPr>
          <w:rFonts w:ascii="Segoe UI" w:hAnsi="Segoe UI" w:cs="Segoe UI"/>
          <w:shd w:val="clear" w:color="auto" w:fill="FFFFFF"/>
        </w:rPr>
        <w:t>His experience spans a broad spectrum of the energy and environmental sector, including work in strategy, proprietary trading, banking, upstream and power utility organizations. He has expertise in oil, gas/LNG, coal, power, renewables, grid integration and emissions. His publications examined topics in climate change, relative competitiveness of renewables vs. fossil fuels, green energy financing, competitive strategy, US shale revolution, oil and gas production and exports, nuclear in Japan, peak coal in China and Russia-China gas, among others. </w:t>
      </w:r>
      <w:r>
        <w:rPr>
          <w:rFonts w:ascii="Segoe UI" w:hAnsi="Segoe UI" w:cs="Segoe UI"/>
        </w:rPr>
        <w:br/>
      </w:r>
      <w:r>
        <w:rPr>
          <w:rFonts w:ascii="Segoe UI" w:hAnsi="Segoe UI" w:cs="Segoe UI"/>
        </w:rPr>
        <w:br/>
      </w:r>
      <w:r>
        <w:rPr>
          <w:rFonts w:ascii="Segoe UI" w:hAnsi="Segoe UI" w:cs="Segoe UI"/>
          <w:shd w:val="clear" w:color="auto" w:fill="FFFFFF"/>
        </w:rPr>
        <w:t xml:space="preserve">Widely cited in the media (e.g. Bloomberg, Financial Times and Wall Street Journal </w:t>
      </w:r>
      <w:proofErr w:type="spellStart"/>
      <w:r>
        <w:rPr>
          <w:rFonts w:ascii="Segoe UI" w:hAnsi="Segoe UI" w:cs="Segoe UI"/>
          <w:shd w:val="clear" w:color="auto" w:fill="FFFFFF"/>
        </w:rPr>
        <w:t>etc</w:t>
      </w:r>
      <w:proofErr w:type="spellEnd"/>
      <w:r>
        <w:rPr>
          <w:rFonts w:ascii="Segoe UI" w:hAnsi="Segoe UI" w:cs="Segoe UI"/>
          <w:shd w:val="clear" w:color="auto" w:fill="FFFFFF"/>
        </w:rPr>
        <w:t xml:space="preserve">), he is frequently invited to speak at major conferences and organizations, such as IIF, OPEC/IEA/IEF, </w:t>
      </w:r>
      <w:proofErr w:type="spellStart"/>
      <w:r>
        <w:rPr>
          <w:rFonts w:ascii="Segoe UI" w:hAnsi="Segoe UI" w:cs="Segoe UI"/>
          <w:shd w:val="clear" w:color="auto" w:fill="FFFFFF"/>
        </w:rPr>
        <w:t>Coaltrans</w:t>
      </w:r>
      <w:proofErr w:type="spellEnd"/>
      <w:r>
        <w:rPr>
          <w:rFonts w:ascii="Segoe UI" w:hAnsi="Segoe UI" w:cs="Segoe UI"/>
          <w:shd w:val="clear" w:color="auto" w:fill="FFFFFF"/>
        </w:rPr>
        <w:t>, US National Renewable Energy Laboratory (NREL), think tanks (e.g. Brookings, Carnegie Endowment, CSIS) and universities, among others. </w:t>
      </w:r>
      <w:r>
        <w:rPr>
          <w:rFonts w:ascii="Segoe UI" w:hAnsi="Segoe UI" w:cs="Segoe UI"/>
        </w:rPr>
        <w:br/>
      </w:r>
      <w:r>
        <w:rPr>
          <w:rFonts w:ascii="Segoe UI" w:hAnsi="Segoe UI" w:cs="Segoe UI"/>
        </w:rPr>
        <w:br/>
      </w:r>
      <w:r>
        <w:rPr>
          <w:rFonts w:ascii="Segoe UI" w:hAnsi="Segoe UI" w:cs="Segoe UI"/>
          <w:shd w:val="clear" w:color="auto" w:fill="FFFFFF"/>
        </w:rPr>
        <w:t>Before Citi, he worked at McKinsey &amp; Company and Constellation Energy's Global Commodities Group, one of the largest physical/financial trading operations in North America then. </w:t>
      </w:r>
      <w:r>
        <w:rPr>
          <w:rFonts w:ascii="Segoe UI" w:hAnsi="Segoe UI" w:cs="Segoe UI"/>
        </w:rPr>
        <w:br/>
      </w:r>
      <w:r>
        <w:rPr>
          <w:rFonts w:ascii="Segoe UI" w:hAnsi="Segoe UI" w:cs="Segoe UI"/>
        </w:rPr>
        <w:br/>
      </w:r>
      <w:r>
        <w:rPr>
          <w:rFonts w:ascii="Segoe UI" w:hAnsi="Segoe UI" w:cs="Segoe UI"/>
          <w:shd w:val="clear" w:color="auto" w:fill="FFFFFF"/>
        </w:rPr>
        <w:t>He previously held research and teaching positions at the University of Pennsylvania and was a faculty member of Columbia University. </w:t>
      </w:r>
      <w:r>
        <w:rPr>
          <w:rFonts w:ascii="Segoe UI" w:hAnsi="Segoe UI" w:cs="Segoe UI"/>
        </w:rPr>
        <w:br/>
      </w:r>
      <w:r>
        <w:rPr>
          <w:rFonts w:ascii="Segoe UI" w:hAnsi="Segoe UI" w:cs="Segoe UI"/>
        </w:rPr>
        <w:br/>
      </w:r>
      <w:r>
        <w:rPr>
          <w:rFonts w:ascii="Segoe UI" w:hAnsi="Segoe UI" w:cs="Segoe UI"/>
          <w:shd w:val="clear" w:color="auto" w:fill="FFFFFF"/>
        </w:rPr>
        <w:t>He received his undergraduate and graduate engineering degrees from the University of Toronto and his Ph.D. degree in Economics from the University of Pennsylvania. He is a member and Ambassador Lecturer of the Society of Petroleum Engineers.</w:t>
      </w:r>
    </w:p>
    <w:p w:rsidR="009A2767" w:rsidRDefault="009A2767" w:rsidP="00CA3949">
      <w:pPr>
        <w:spacing w:line="276" w:lineRule="auto"/>
      </w:pPr>
    </w:p>
    <w:p w:rsidR="009A2767" w:rsidRDefault="009A2767" w:rsidP="009A2767">
      <w:pPr>
        <w:pStyle w:val="NormalWeb"/>
        <w:ind w:left="900"/>
        <w:rPr>
          <w:rFonts w:ascii="Arial" w:hAnsi="Arial" w:cs="Arial"/>
          <w:sz w:val="22"/>
          <w:szCs w:val="22"/>
        </w:rPr>
      </w:pPr>
    </w:p>
    <w:p w:rsidR="009A2767" w:rsidRDefault="009A2767" w:rsidP="009A2767">
      <w:pPr>
        <w:pStyle w:val="NormalWeb"/>
        <w:ind w:left="900"/>
        <w:rPr>
          <w:rFonts w:ascii="Arial" w:hAnsi="Arial" w:cs="Arial"/>
          <w:sz w:val="22"/>
          <w:szCs w:val="22"/>
        </w:rPr>
      </w:pPr>
    </w:p>
    <w:p w:rsidR="009A2767" w:rsidRDefault="009A2767" w:rsidP="009A2767">
      <w:pPr>
        <w:pStyle w:val="NormalWeb"/>
        <w:ind w:left="900"/>
        <w:rPr>
          <w:rFonts w:ascii="Arial" w:hAnsi="Arial" w:cs="Arial"/>
          <w:sz w:val="22"/>
          <w:szCs w:val="22"/>
        </w:rPr>
      </w:pPr>
    </w:p>
    <w:p w:rsidR="009A2767" w:rsidRDefault="009A2767" w:rsidP="009A2767">
      <w:pPr>
        <w:pStyle w:val="NormalWeb"/>
        <w:rPr>
          <w:rFonts w:ascii="Arial" w:hAnsi="Arial" w:cs="Arial"/>
          <w:sz w:val="22"/>
          <w:szCs w:val="22"/>
        </w:rPr>
      </w:pPr>
    </w:p>
    <w:p w:rsidR="00CA3949" w:rsidRDefault="00CA3949" w:rsidP="00CA3949">
      <w:pPr>
        <w:spacing w:line="276" w:lineRule="auto"/>
      </w:pPr>
    </w:p>
    <w:sectPr w:rsidR="00CA39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rebuchet MS">
    <w:altName w:val="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87C40"/>
    <w:multiLevelType w:val="hybridMultilevel"/>
    <w:tmpl w:val="FDDEB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F2F"/>
    <w:rsid w:val="00195F4E"/>
    <w:rsid w:val="001E239B"/>
    <w:rsid w:val="00205F6D"/>
    <w:rsid w:val="00446048"/>
    <w:rsid w:val="00521563"/>
    <w:rsid w:val="00614EE7"/>
    <w:rsid w:val="00730684"/>
    <w:rsid w:val="00791E9F"/>
    <w:rsid w:val="007A6EE5"/>
    <w:rsid w:val="00813F2F"/>
    <w:rsid w:val="00846EF0"/>
    <w:rsid w:val="00940995"/>
    <w:rsid w:val="009A2767"/>
    <w:rsid w:val="00A03F6F"/>
    <w:rsid w:val="00A42109"/>
    <w:rsid w:val="00B63DB5"/>
    <w:rsid w:val="00BC5BC0"/>
    <w:rsid w:val="00BF57B2"/>
    <w:rsid w:val="00CA3949"/>
    <w:rsid w:val="00E154EB"/>
    <w:rsid w:val="00E336D8"/>
    <w:rsid w:val="00E40314"/>
    <w:rsid w:val="00FF2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DCFA1"/>
  <w15:chartTrackingRefBased/>
  <w15:docId w15:val="{186CE206-5292-44C1-A71A-438DB61EB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09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umntext">
    <w:name w:val="column_text"/>
    <w:basedOn w:val="DefaultParagraphFont"/>
    <w:rsid w:val="00940995"/>
  </w:style>
  <w:style w:type="character" w:customStyle="1" w:styleId="columntextsm">
    <w:name w:val="columntextsm"/>
    <w:basedOn w:val="DefaultParagraphFont"/>
    <w:rsid w:val="00940995"/>
  </w:style>
  <w:style w:type="character" w:styleId="Hyperlink">
    <w:name w:val="Hyperlink"/>
    <w:basedOn w:val="DefaultParagraphFont"/>
    <w:uiPriority w:val="99"/>
    <w:unhideWhenUsed/>
    <w:rsid w:val="00940995"/>
    <w:rPr>
      <w:color w:val="0000FF"/>
      <w:u w:val="single"/>
    </w:rPr>
  </w:style>
  <w:style w:type="paragraph" w:styleId="BalloonText">
    <w:name w:val="Balloon Text"/>
    <w:basedOn w:val="Normal"/>
    <w:link w:val="BalloonTextChar"/>
    <w:uiPriority w:val="99"/>
    <w:semiHidden/>
    <w:unhideWhenUsed/>
    <w:rsid w:val="00846E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EF0"/>
    <w:rPr>
      <w:rFonts w:ascii="Segoe UI" w:hAnsi="Segoe UI" w:cs="Segoe UI"/>
      <w:sz w:val="18"/>
      <w:szCs w:val="18"/>
    </w:rPr>
  </w:style>
  <w:style w:type="paragraph" w:styleId="ListParagraph">
    <w:name w:val="List Paragraph"/>
    <w:basedOn w:val="Normal"/>
    <w:uiPriority w:val="34"/>
    <w:qFormat/>
    <w:rsid w:val="00E40314"/>
    <w:pPr>
      <w:ind w:left="720"/>
      <w:contextualSpacing/>
    </w:pPr>
  </w:style>
  <w:style w:type="character" w:styleId="Emphasis">
    <w:name w:val="Emphasis"/>
    <w:uiPriority w:val="20"/>
    <w:qFormat/>
    <w:rsid w:val="009A27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388524">
      <w:bodyDiv w:val="1"/>
      <w:marLeft w:val="0"/>
      <w:marRight w:val="0"/>
      <w:marTop w:val="0"/>
      <w:marBottom w:val="0"/>
      <w:divBdr>
        <w:top w:val="none" w:sz="0" w:space="0" w:color="auto"/>
        <w:left w:val="none" w:sz="0" w:space="0" w:color="auto"/>
        <w:bottom w:val="none" w:sz="0" w:space="0" w:color="auto"/>
        <w:right w:val="none" w:sz="0" w:space="0" w:color="auto"/>
      </w:divBdr>
    </w:div>
    <w:div w:id="152878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Penn State University</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Dull</dc:creator>
  <cp:keywords/>
  <dc:description/>
  <cp:lastModifiedBy>Nancy Dull Stuck</cp:lastModifiedBy>
  <cp:revision>2</cp:revision>
  <cp:lastPrinted>2017-06-01T20:50:00Z</cp:lastPrinted>
  <dcterms:created xsi:type="dcterms:W3CDTF">2018-04-13T17:31:00Z</dcterms:created>
  <dcterms:modified xsi:type="dcterms:W3CDTF">2018-04-13T17:31:00Z</dcterms:modified>
</cp:coreProperties>
</file>